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Заголовок</w:t>
      </w:r>
    </w:p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ГУАП вошел в число победителей конкурса на создание центров</w:t>
      </w:r>
      <w:r>
        <w:rPr>
          <w:rFonts w:ascii="Times New Roman" w:hAnsi="Times New Roman" w:cs="Times New Roman"/>
          <w:sz w:val="28"/>
          <w:szCs w:val="28"/>
        </w:rPr>
        <w:t xml:space="preserve"> трансфера технологий</w:t>
      </w:r>
    </w:p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Анонс</w:t>
      </w:r>
    </w:p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 xml:space="preserve">Подведены итоги конкурса на создание и развитие центров трансфера технологий научных 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высшего образования</w:t>
      </w:r>
    </w:p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Текст</w:t>
      </w:r>
    </w:p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Конкурс был объявлен Министерством науки и высшего образования 31 января 2023 года. Он включал в себя 2 этапа: подготовку и подачу заявки, а также очную защиту программы развития центра. Всего на конкурс поступило 58 заявок, 20 из которых получили поддержку. 9 место по сумме баллов занял центр трансфера тех</w:t>
      </w:r>
      <w:r>
        <w:rPr>
          <w:rFonts w:ascii="Times New Roman" w:hAnsi="Times New Roman" w:cs="Times New Roman"/>
          <w:sz w:val="28"/>
          <w:szCs w:val="28"/>
        </w:rPr>
        <w:t>нологий ГУАП «Аэрокосмический».</w:t>
      </w:r>
    </w:p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– Эксперты конкурса оценивали каждую заявку по трем критериям: научно-техническому заделу, качеству программы развития центра и очной защиты, рискам реализации программы. Мы понимали, что, во-первых, задел за месяц подготовки заявки нарастить невозможно: он формируется годами. Во-вторых, как раз на критерий оценки качества программы можно было повлиять в ходе работы над заявкой и, собственно, во время очной защиты проекта. Отмечу, что по данному показателю мы на третьем месте среди всех участников конкурса, – подчеркнул Алексей Рабин, директор Центра координации научных иссл</w:t>
      </w:r>
      <w:r>
        <w:rPr>
          <w:rFonts w:ascii="Times New Roman" w:hAnsi="Times New Roman" w:cs="Times New Roman"/>
          <w:sz w:val="28"/>
          <w:szCs w:val="28"/>
        </w:rPr>
        <w:t>едований, руководитель проекта.</w:t>
      </w:r>
    </w:p>
    <w:p w:rsidR="0043373F" w:rsidRPr="0043373F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Программа центра рассчитана на период с 2023 по 2027 годы и предусматривает проведение мероприятий в сфере маркетинга, права, развития персонала и партнер</w:t>
      </w:r>
      <w:r>
        <w:rPr>
          <w:rFonts w:ascii="Times New Roman" w:hAnsi="Times New Roman" w:cs="Times New Roman"/>
          <w:sz w:val="28"/>
          <w:szCs w:val="28"/>
        </w:rPr>
        <w:t>ской сети.</w:t>
      </w:r>
      <w:bookmarkStart w:id="0" w:name="_GoBack"/>
      <w:bookmarkEnd w:id="0"/>
    </w:p>
    <w:p w:rsidR="0043373F" w:rsidRPr="00A41FCB" w:rsidRDefault="0043373F" w:rsidP="0043373F">
      <w:pPr>
        <w:jc w:val="both"/>
        <w:rPr>
          <w:rFonts w:ascii="Times New Roman" w:hAnsi="Times New Roman" w:cs="Times New Roman"/>
          <w:sz w:val="28"/>
          <w:szCs w:val="28"/>
        </w:rPr>
      </w:pPr>
      <w:r w:rsidRPr="0043373F">
        <w:rPr>
          <w:rFonts w:ascii="Times New Roman" w:hAnsi="Times New Roman" w:cs="Times New Roman"/>
          <w:sz w:val="28"/>
          <w:szCs w:val="28"/>
        </w:rPr>
        <w:t>Открытие центра трансфера технологий «Аэрокосмический» также является одним из мероприятий Программы развития ГУАП до 2030 года.</w:t>
      </w:r>
    </w:p>
    <w:sectPr w:rsidR="0043373F" w:rsidRPr="00A4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B"/>
    <w:rsid w:val="000C0556"/>
    <w:rsid w:val="0043373F"/>
    <w:rsid w:val="005F26E3"/>
    <w:rsid w:val="00A41FCB"/>
    <w:rsid w:val="00D22CC6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BA01"/>
  <w15:chartTrackingRefBased/>
  <w15:docId w15:val="{E665AA91-7E90-4E8A-BD10-946A488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2023-04-10T12:57:00Z</dcterms:created>
  <dcterms:modified xsi:type="dcterms:W3CDTF">2023-04-11T07:31:00Z</dcterms:modified>
</cp:coreProperties>
</file>